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02" w:rsidRDefault="00180C02" w:rsidP="00283023">
      <w:pPr>
        <w:pStyle w:val="Nagwek1"/>
        <w:jc w:val="center"/>
        <w:rPr>
          <w:sz w:val="24"/>
        </w:rPr>
      </w:pPr>
    </w:p>
    <w:p w:rsidR="00180C02" w:rsidRDefault="00180C02" w:rsidP="00283023">
      <w:pPr>
        <w:pStyle w:val="Nagwek1"/>
        <w:jc w:val="center"/>
        <w:rPr>
          <w:sz w:val="24"/>
        </w:rPr>
      </w:pPr>
    </w:p>
    <w:p w:rsidR="00283023" w:rsidRDefault="00180C02" w:rsidP="00180C02">
      <w:pPr>
        <w:pStyle w:val="Nagwek1"/>
        <w:ind w:firstLine="708"/>
        <w:jc w:val="center"/>
        <w:rPr>
          <w:sz w:val="24"/>
        </w:rPr>
      </w:pPr>
      <w:r>
        <w:rPr>
          <w:sz w:val="24"/>
        </w:rPr>
        <w:t>Wójt Gminy Pa</w:t>
      </w:r>
      <w:r w:rsidR="00283023">
        <w:rPr>
          <w:sz w:val="24"/>
        </w:rPr>
        <w:t xml:space="preserve">dew Narodowa </w:t>
      </w:r>
      <w:r w:rsidR="00283023">
        <w:rPr>
          <w:b/>
          <w:sz w:val="24"/>
        </w:rPr>
        <w:t xml:space="preserve">ogłasza V przetarg ustny nieograniczony na sprzedaż  gruntu stanowiącego własność mienia komunalnego Gminy Padew Narodowa  </w:t>
      </w:r>
    </w:p>
    <w:p w:rsidR="00283023" w:rsidRDefault="00283023" w:rsidP="00283023"/>
    <w:p w:rsidR="00283023" w:rsidRDefault="00283023" w:rsidP="00283023">
      <w:pPr>
        <w:pStyle w:val="Nagwek1"/>
        <w:rPr>
          <w:sz w:val="24"/>
        </w:rPr>
      </w:pPr>
      <w:r>
        <w:rPr>
          <w:sz w:val="24"/>
        </w:rPr>
        <w:t>Przetarg odbędzie się w Urzędzie Gminy w Padwi Narodowej , ul. Grunwaldzka 2 , sala nr 1     ( sala konferencyjna )</w:t>
      </w:r>
    </w:p>
    <w:p w:rsidR="00283023" w:rsidRDefault="00283023" w:rsidP="00283023"/>
    <w:p w:rsidR="00283023" w:rsidRPr="001E2B4D" w:rsidRDefault="00283023" w:rsidP="00283023">
      <w:pPr>
        <w:rPr>
          <w:b/>
          <w:u w:val="single"/>
        </w:rPr>
      </w:pPr>
      <w:r w:rsidRPr="001E2B4D">
        <w:rPr>
          <w:b/>
          <w:u w:val="single"/>
        </w:rPr>
        <w:t xml:space="preserve">w dniu  </w:t>
      </w:r>
      <w:r>
        <w:rPr>
          <w:b/>
          <w:u w:val="single"/>
        </w:rPr>
        <w:t xml:space="preserve">29 maja </w:t>
      </w:r>
      <w:r w:rsidRPr="001E2B4D">
        <w:rPr>
          <w:b/>
          <w:u w:val="single"/>
        </w:rPr>
        <w:t>202</w:t>
      </w:r>
      <w:r>
        <w:rPr>
          <w:b/>
          <w:u w:val="single"/>
        </w:rPr>
        <w:t>4</w:t>
      </w:r>
      <w:r w:rsidRPr="001E2B4D">
        <w:rPr>
          <w:b/>
          <w:u w:val="single"/>
        </w:rPr>
        <w:t xml:space="preserve">   o godz.  11.00 </w:t>
      </w:r>
    </w:p>
    <w:p w:rsidR="00283023" w:rsidRDefault="00283023" w:rsidP="00283023">
      <w:pPr>
        <w:rPr>
          <w:b/>
        </w:rPr>
      </w:pPr>
    </w:p>
    <w:p w:rsidR="00283023" w:rsidRPr="000F56EA" w:rsidRDefault="00283023" w:rsidP="00283023">
      <w:pPr>
        <w:rPr>
          <w:b/>
          <w:i/>
          <w:u w:val="single"/>
        </w:rPr>
      </w:pPr>
      <w:r w:rsidRPr="000F56EA">
        <w:rPr>
          <w:b/>
          <w:i/>
          <w:u w:val="single"/>
        </w:rPr>
        <w:t>I. Opis nieruchomości:</w:t>
      </w:r>
    </w:p>
    <w:p w:rsidR="00283023" w:rsidRDefault="00283023" w:rsidP="00283023">
      <w:pPr>
        <w:jc w:val="both"/>
      </w:pPr>
    </w:p>
    <w:p w:rsidR="00283023" w:rsidRDefault="00283023" w:rsidP="00283023">
      <w:pPr>
        <w:jc w:val="both"/>
      </w:pPr>
      <w:r>
        <w:t>- działka 15/1  o pow.  1,0262 ha - obręb Zachwiejów KW-TB1T/00085456/1</w:t>
      </w:r>
    </w:p>
    <w:p w:rsidR="00283023" w:rsidRDefault="00283023" w:rsidP="00283023">
      <w:pPr>
        <w:jc w:val="both"/>
      </w:pPr>
      <w:r>
        <w:t>- działka 19/1  o pow.  4,1108 ha - obręb Zachwiejów KW-TB1T/00085456/1</w:t>
      </w:r>
    </w:p>
    <w:p w:rsidR="00283023" w:rsidRDefault="00283023" w:rsidP="00283023">
      <w:pPr>
        <w:jc w:val="both"/>
      </w:pPr>
      <w:r>
        <w:t>- działka 2488 o pow.  4,4165 ha - obręb Padew Narodowa KW-TB1T/00032810/5</w:t>
      </w:r>
    </w:p>
    <w:p w:rsidR="00283023" w:rsidRDefault="00283023" w:rsidP="00283023">
      <w:pPr>
        <w:jc w:val="both"/>
      </w:pPr>
      <w:r>
        <w:t>- działka 2489 o pow.  2,2972 ha - obręb Padew Narodowa KW-TB1T/00032810/5</w:t>
      </w:r>
    </w:p>
    <w:p w:rsidR="00283023" w:rsidRDefault="00283023" w:rsidP="00283023">
      <w:pPr>
        <w:jc w:val="both"/>
      </w:pPr>
      <w:r>
        <w:t>- działka 2519 o pow.  3,2914 ha - obręb Padew Narodowa KW-TB1T/00032810/5</w:t>
      </w:r>
    </w:p>
    <w:p w:rsidR="00283023" w:rsidRDefault="00283023" w:rsidP="00283023">
      <w:pPr>
        <w:jc w:val="both"/>
      </w:pPr>
      <w:r>
        <w:t>- działka 2520 o pow.  8,3628 ha - obręb Padew Narodowa KW-TB1T/00032810/5</w:t>
      </w:r>
    </w:p>
    <w:p w:rsidR="00283023" w:rsidRDefault="00283023" w:rsidP="00283023">
      <w:pPr>
        <w:jc w:val="both"/>
      </w:pPr>
      <w:r>
        <w:t>- działka 2521 o pow.10,6228 ha - obręb Padew Narodowa KW-TB1T/00032810/5</w:t>
      </w:r>
    </w:p>
    <w:p w:rsidR="00283023" w:rsidRDefault="00283023" w:rsidP="00283023">
      <w:pPr>
        <w:jc w:val="both"/>
      </w:pPr>
    </w:p>
    <w:p w:rsidR="00283023" w:rsidRDefault="00283023" w:rsidP="00283023">
      <w:pPr>
        <w:jc w:val="both"/>
      </w:pPr>
      <w:r>
        <w:t xml:space="preserve">Łączna powierzchnia nieruchomości – 34,1277 ha </w:t>
      </w:r>
    </w:p>
    <w:p w:rsidR="00283023" w:rsidRDefault="00283023" w:rsidP="00283023">
      <w:pPr>
        <w:jc w:val="both"/>
      </w:pPr>
      <w:r>
        <w:t xml:space="preserve">Cena nieruchomości wynosi– </w:t>
      </w:r>
      <w:r>
        <w:rPr>
          <w:b/>
        </w:rPr>
        <w:t>23 975 740,00 złotych brutto</w:t>
      </w:r>
      <w:r>
        <w:t xml:space="preserve">(słownie: dwadzieścia trzy miliony dziewięćset siedemdziesiąt pięć tysięcy siedemset czterdzieści złotych 00/100 ).Do ceny nieruchomości został doliczony obowiązujący podatek </w:t>
      </w:r>
      <w:proofErr w:type="spellStart"/>
      <w:r>
        <w:t>Vat</w:t>
      </w:r>
      <w:proofErr w:type="spellEnd"/>
      <w:r>
        <w:t xml:space="preserve"> w stawce 23%.</w:t>
      </w:r>
    </w:p>
    <w:p w:rsidR="00283023" w:rsidRDefault="00283023" w:rsidP="00283023">
      <w:pPr>
        <w:jc w:val="both"/>
      </w:pPr>
    </w:p>
    <w:p w:rsidR="00283023" w:rsidRDefault="00283023" w:rsidP="00283023">
      <w:pPr>
        <w:ind w:firstLine="708"/>
        <w:rPr>
          <w:sz w:val="22"/>
          <w:szCs w:val="22"/>
        </w:rPr>
      </w:pPr>
    </w:p>
    <w:p w:rsidR="00283023" w:rsidRDefault="00283023" w:rsidP="00283023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nieruchomości według ewidencji gruntów ( sklasyfikowanie ):</w:t>
      </w:r>
    </w:p>
    <w:p w:rsidR="00283023" w:rsidRDefault="00283023" w:rsidP="00283023">
      <w:pPr>
        <w:jc w:val="both"/>
        <w:rPr>
          <w:lang w:eastAsia="ar-SA"/>
        </w:rPr>
      </w:pPr>
      <w:r>
        <w:rPr>
          <w:lang w:eastAsia="ar-SA"/>
        </w:rPr>
        <w:t xml:space="preserve">-15/1 - W </w:t>
      </w:r>
      <w:proofErr w:type="spellStart"/>
      <w:r>
        <w:rPr>
          <w:lang w:eastAsia="ar-SA"/>
        </w:rPr>
        <w:t>Ps</w:t>
      </w:r>
      <w:proofErr w:type="spellEnd"/>
      <w:r>
        <w:rPr>
          <w:lang w:eastAsia="ar-SA"/>
        </w:rPr>
        <w:t xml:space="preserve"> IV- 0,0419 ha, Bp – 0,9843 ha.</w:t>
      </w:r>
    </w:p>
    <w:p w:rsidR="00283023" w:rsidRDefault="00283023" w:rsidP="00283023">
      <w:pPr>
        <w:jc w:val="both"/>
        <w:rPr>
          <w:lang w:eastAsia="ar-SA"/>
        </w:rPr>
      </w:pPr>
      <w:r>
        <w:rPr>
          <w:lang w:eastAsia="ar-SA"/>
        </w:rPr>
        <w:t>-19/1 - PsV-0,0981 ha, PsIV-0,6032 ha, LzrPsIV-0,4911 ha, RV-2,9184 ha</w:t>
      </w:r>
    </w:p>
    <w:p w:rsidR="00283023" w:rsidRDefault="00283023" w:rsidP="00283023">
      <w:pPr>
        <w:jc w:val="both"/>
        <w:rPr>
          <w:lang w:eastAsia="ar-SA"/>
        </w:rPr>
      </w:pPr>
      <w:r>
        <w:rPr>
          <w:lang w:eastAsia="ar-SA"/>
        </w:rPr>
        <w:t>-2488 - ŁVI-0,1211 ha, PsVI-0,2463 ha, PsV-0,2563 ha, ŁV- 0,3145 ha, RV-3,4783 ha</w:t>
      </w:r>
    </w:p>
    <w:p w:rsidR="00283023" w:rsidRDefault="00283023" w:rsidP="00283023">
      <w:pPr>
        <w:jc w:val="both"/>
        <w:rPr>
          <w:lang w:eastAsia="ar-SA"/>
        </w:rPr>
      </w:pPr>
      <w:r>
        <w:rPr>
          <w:lang w:eastAsia="ar-SA"/>
        </w:rPr>
        <w:t>-2489 - ŁVI-0,0942ha, PsVI-0,0960ha, PsV-0,1160ha, ŁV-1,4248ha, RV-0,5653 ha</w:t>
      </w:r>
    </w:p>
    <w:p w:rsidR="00283023" w:rsidRDefault="00283023" w:rsidP="00283023">
      <w:pPr>
        <w:jc w:val="both"/>
        <w:rPr>
          <w:lang w:eastAsia="ar-SA"/>
        </w:rPr>
      </w:pPr>
      <w:r>
        <w:rPr>
          <w:lang w:eastAsia="ar-SA"/>
        </w:rPr>
        <w:t xml:space="preserve">-2519 - ŁVI-0,0521ha, ŁV-1,7781ha, RV-1,4612ha, </w:t>
      </w:r>
    </w:p>
    <w:p w:rsidR="00283023" w:rsidRDefault="00283023" w:rsidP="00283023">
      <w:pPr>
        <w:jc w:val="both"/>
        <w:rPr>
          <w:lang w:eastAsia="ar-SA"/>
        </w:rPr>
      </w:pPr>
      <w:r>
        <w:rPr>
          <w:lang w:eastAsia="ar-SA"/>
        </w:rPr>
        <w:t xml:space="preserve">-2520 - ŁV-1,1005ha, RV-5,7398ha, PsVI-0,6862ha, PsV-0,8363ha </w:t>
      </w:r>
    </w:p>
    <w:p w:rsidR="00283023" w:rsidRPr="00180C02" w:rsidRDefault="00283023" w:rsidP="00283023">
      <w:pPr>
        <w:jc w:val="both"/>
        <w:rPr>
          <w:lang w:val="en-US" w:eastAsia="ar-SA"/>
        </w:rPr>
      </w:pPr>
      <w:r w:rsidRPr="00180C02">
        <w:rPr>
          <w:lang w:val="en-US" w:eastAsia="ar-SA"/>
        </w:rPr>
        <w:t>-2521 – PSV-0,2578ha, RIVb-1,8891ha, RV-8,4759ha.</w:t>
      </w:r>
    </w:p>
    <w:p w:rsidR="00283023" w:rsidRPr="00180C02" w:rsidRDefault="00283023" w:rsidP="00283023">
      <w:pPr>
        <w:jc w:val="both"/>
        <w:rPr>
          <w:sz w:val="22"/>
          <w:szCs w:val="22"/>
          <w:lang w:val="en-US"/>
        </w:rPr>
      </w:pPr>
    </w:p>
    <w:p w:rsidR="00283023" w:rsidRDefault="00283023" w:rsidP="0028302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 xml:space="preserve">Opis działki 15/1 i 19/1- </w:t>
      </w:r>
      <w:r>
        <w:rPr>
          <w:sz w:val="22"/>
          <w:szCs w:val="22"/>
        </w:rPr>
        <w:t xml:space="preserve">działki </w:t>
      </w:r>
      <w:r>
        <w:rPr>
          <w:rFonts w:eastAsia="Lucida Sans Unicode"/>
        </w:rPr>
        <w:t>zlokalizowane są we wschodniej części gminy Padew Narodowa w miejscowości Zachwiejów, w bliskim sąsiedztwie terenów gminy Baranów Sandomierski obrębu Knapy i Woli Baranowskiej. W odległości około 100 m od nieruchomości  znajduje się Terminal Przeładunkowy - Stacja</w:t>
      </w:r>
      <w:r>
        <w:t xml:space="preserve"> </w:t>
      </w:r>
      <w:r>
        <w:rPr>
          <w:rFonts w:eastAsia="Lucida Sans Unicode"/>
        </w:rPr>
        <w:t xml:space="preserve">PKP  </w:t>
      </w:r>
      <w:r>
        <w:t>Linia Hutniczo-Szerokotorowa.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>Działki w kształcie zbliżonym do trójkąta, położone w terenie uzbrojonym. Przez zachodnią część działki 15/1 i 19/1 przebiega napowietrzna linia wysokiego napięcia, natomiast przez wschodnią część  przebiega sieć  wodociągowa średnicy 90, sieć kanalizacji sanitarnej oraz sieć gazowa z której korzystają mieszkańcy zlokalizowanej w sąsiedztwie zabudowy zagrodowo-mieszkaniowej. Teren oświetlony- oświetlenie uliczne. Dla działki 15/1 Gmina posiada dokumentację projektową oraz pozwolenie na budowę na wykonanie trzech zjazdów na działkę oraz dokumentację techniczną na wykonanie parkingów.</w:t>
      </w:r>
    </w:p>
    <w:p w:rsidR="00283023" w:rsidRDefault="00283023" w:rsidP="00283023">
      <w:pPr>
        <w:pStyle w:val="NormalnyWeb"/>
        <w:spacing w:before="0" w:beforeAutospacing="0" w:after="0" w:afterAutospacing="0"/>
        <w:jc w:val="both"/>
      </w:pPr>
      <w:r>
        <w:rPr>
          <w:rFonts w:eastAsia="Lucida Sans Unicode"/>
        </w:rPr>
        <w:tab/>
      </w:r>
    </w:p>
    <w:p w:rsidR="00283023" w:rsidRDefault="00283023" w:rsidP="0028302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  <w:r>
        <w:rPr>
          <w:rFonts w:eastAsia="Lucida Sans Unicode"/>
          <w:b/>
        </w:rPr>
        <w:t>Opis działek 2488, 2489, 2519, 2520, 2521 o łącznej powierzchni 28,9907 ha</w:t>
      </w:r>
      <w:r>
        <w:rPr>
          <w:rFonts w:eastAsia="Lucida Sans Unicode"/>
        </w:rPr>
        <w:t>: działki stanowią</w:t>
      </w:r>
      <w:r>
        <w:t xml:space="preserve"> zwarty teren i zlokalizowane są we wschodniej części obrębu Padew Narodowa, w </w:t>
      </w:r>
      <w:r>
        <w:lastRenderedPageBreak/>
        <w:t xml:space="preserve">sąsiedztwie terenów gminy Baranów Sandomierski obrębu Knapy i Woli Baranowskiej. Przedmiotowe tereny są znacznie oddalone od terenów zamieszkanych, z nieograniczonym dostępem do linii energetycznej oraz drogi powiatowej i wojewódzkiej. Tereny przemysłowe od strony północnej bezpośrednio graniczą z terenami Linii Hutniczo- Szerokotorowej wraz ze znajdującym się Terminalem Przeładunkowym- Stacja PKP, od strony zachodniej z wałem rzeki Babulówka, od strony południowej z drogą gruntową i obrębem Zarównie, a od strony wschodniej z drogą gruntowa. Przez teren obszaru przebiega napowietrzna linia elektroenergetyczna wysokiego napięcia WN 220 </w:t>
      </w:r>
      <w:proofErr w:type="spellStart"/>
      <w:r>
        <w:t>kV</w:t>
      </w:r>
      <w:proofErr w:type="spellEnd"/>
      <w:r>
        <w:t xml:space="preserve"> Połaniec- Chmielów ze strefą techniczną. Na terenie zaprojektowane są drogi dojazdowe kategorii 3 KDD, wzdłuż których przebiegają sieci wodociągowe i kanalizacyjne wraz ze studzienkami odpływowymi. Sieci wodociągowe i kanalizacyjne przebiegają od strony północnej przez teren działek 2488, 2489 oraz 2521, natomiast od strony południowo- wschodniej równolegle do trasy linii elektroenergetycznej wysokiego napięcia, przez teren działek 2488, 2489 oraz 2520.</w:t>
      </w:r>
    </w:p>
    <w:p w:rsidR="00283023" w:rsidRDefault="00283023" w:rsidP="0028302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283023" w:rsidRDefault="00283023" w:rsidP="0028302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</w:pP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Dojazd do działek 15/1,19/1,2488,2489,2519,2520,2521 drogą gminną kategorii D, połączoną skrzyżowaniem z drogą powiatową. Wzdłuż istniejących ciągów komunikacyjnych przebiega sieć kanalizacji deszczowej. Ponadto wzdłuż ciągów komunikacyjnych zlokalizowane są stanowiska postojowe dla samochodów osobowych i ciężarowych. Stanowiska postojowe wyłożone kostką. Przy wjeździe na teren nieruchomości znajduje się stacja „TRAFO” o napięciu 80 KV z możliwością rozbudowy.  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283023" w:rsidRPr="000F56EA" w:rsidRDefault="00283023" w:rsidP="0028302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overflowPunct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0F56EA">
        <w:rPr>
          <w:b/>
          <w:i/>
          <w:u w:val="single"/>
        </w:rPr>
        <w:t>II. Postanowienia planu miejscowego</w:t>
      </w:r>
    </w:p>
    <w:p w:rsidR="00283023" w:rsidRDefault="00283023" w:rsidP="00283023">
      <w:pPr>
        <w:widowControl w:val="0"/>
        <w:suppressAutoHyphens/>
        <w:jc w:val="both"/>
        <w:rPr>
          <w:rFonts w:eastAsia="Lucida Sans Unicode"/>
        </w:rPr>
      </w:pPr>
    </w:p>
    <w:p w:rsidR="00283023" w:rsidRDefault="00283023" w:rsidP="00283023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Zgodnie z</w:t>
      </w:r>
      <w:r>
        <w:rPr>
          <w:b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ustaleniami </w:t>
      </w:r>
      <w:r>
        <w:rPr>
          <w:rFonts w:eastAsia="Lucida Sans Unicode"/>
          <w:sz w:val="20"/>
          <w:szCs w:val="20"/>
        </w:rPr>
        <w:t>miejscowego planu zagospodarowania przestrzennego „RUSINÓW” dla terenu położonego w Padwi Narodowej, Zarówniu i Zachwiejowie w rejonie Linii Hutniczo Szerokotorowej</w:t>
      </w:r>
      <w:r>
        <w:rPr>
          <w:sz w:val="20"/>
          <w:szCs w:val="20"/>
          <w:lang w:eastAsia="ar-SA"/>
        </w:rPr>
        <w:t xml:space="preserve">, działka  numer 15/1- obręb Zachwiejów   – znajduje się w terenie oznaczonym symbolem 3 UP,  działka 19/1-obręb Zachwiejów-znajduje się w terenie oznaczonym symbolem 2UP, działki nr </w:t>
      </w:r>
      <w:r>
        <w:rPr>
          <w:rFonts w:eastAsia="Lucida Sans Unicode"/>
          <w:sz w:val="20"/>
          <w:szCs w:val="20"/>
        </w:rPr>
        <w:t>2488,2489,2519,2520,2521</w:t>
      </w:r>
      <w:r>
        <w:rPr>
          <w:sz w:val="20"/>
          <w:szCs w:val="20"/>
          <w:lang w:eastAsia="ar-SA"/>
        </w:rPr>
        <w:t>-obręb Padew Narodowa- znajdują się w terenie oznaczonym symbolem 4UP.</w:t>
      </w:r>
    </w:p>
    <w:p w:rsidR="00283023" w:rsidRDefault="00283023" w:rsidP="00283023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Tereny oznaczone symbolami 2UP,3UP,4UP  przeznaczone są pod lokalizację zabudowy usługowej, obiektów produkcyjnych, składów i magazynów. </w:t>
      </w:r>
    </w:p>
    <w:p w:rsidR="00283023" w:rsidRDefault="00283023" w:rsidP="00283023">
      <w:pPr>
        <w:shd w:val="clear" w:color="auto" w:fill="FFFFFF"/>
        <w:ind w:firstLine="708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Na terenie objętym planem dopuszcza się:</w:t>
      </w:r>
    </w:p>
    <w:p w:rsidR="00283023" w:rsidRPr="00824937" w:rsidRDefault="00283023" w:rsidP="00283023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824937">
        <w:rPr>
          <w:sz w:val="20"/>
          <w:szCs w:val="20"/>
          <w:lang w:eastAsia="ar-SA"/>
        </w:rPr>
        <w:t>przebudowę sieci infrastruktury technicznej oraz budowę nowych sieci i urządzeń infrastruktury technicznej przez kolejowej pod warunkiem, że nie wykluczy to możliwości zagospodarowania terenów zgodnie z ich przeznaczeniem w planie;</w:t>
      </w:r>
    </w:p>
    <w:p w:rsidR="00283023" w:rsidRPr="00824937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2.</w:t>
      </w:r>
      <w:r w:rsidRPr="00824937">
        <w:rPr>
          <w:sz w:val="20"/>
          <w:szCs w:val="20"/>
          <w:lang w:eastAsia="ar-SA"/>
        </w:rPr>
        <w:t>w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granicach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pasa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technologicznego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napowietrznych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linii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elektroenergetycznych,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>zakazuje</w:t>
      </w:r>
      <w:r>
        <w:rPr>
          <w:sz w:val="20"/>
          <w:szCs w:val="20"/>
          <w:lang w:eastAsia="ar-SA"/>
        </w:rPr>
        <w:t xml:space="preserve"> </w:t>
      </w:r>
      <w:r w:rsidRPr="00824937">
        <w:rPr>
          <w:sz w:val="20"/>
          <w:szCs w:val="20"/>
          <w:lang w:eastAsia="ar-SA"/>
        </w:rPr>
        <w:t xml:space="preserve">się </w:t>
      </w:r>
      <w:r>
        <w:rPr>
          <w:sz w:val="20"/>
          <w:szCs w:val="20"/>
          <w:lang w:eastAsia="ar-SA"/>
        </w:rPr>
        <w:t xml:space="preserve">  </w:t>
      </w:r>
      <w:r w:rsidRPr="00824937">
        <w:rPr>
          <w:sz w:val="20"/>
          <w:szCs w:val="20"/>
          <w:lang w:eastAsia="ar-SA"/>
        </w:rPr>
        <w:t>zagospodarowania terenu zielenią wyższą niż 3m;</w:t>
      </w:r>
    </w:p>
    <w:p w:rsidR="00283023" w:rsidRPr="00824937" w:rsidRDefault="00283023" w:rsidP="00283023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</w:t>
      </w:r>
      <w:r w:rsidRPr="00824937">
        <w:rPr>
          <w:sz w:val="20"/>
          <w:szCs w:val="20"/>
          <w:lang w:eastAsia="ar-SA"/>
        </w:rPr>
        <w:t>przebudowę i przełożenie rowów melioracyjnych lub ich skanalizowanie;</w:t>
      </w:r>
    </w:p>
    <w:p w:rsidR="00283023" w:rsidRPr="00824937" w:rsidRDefault="00283023" w:rsidP="00283023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</w:t>
      </w:r>
      <w:r w:rsidRPr="00824937">
        <w:rPr>
          <w:sz w:val="20"/>
          <w:szCs w:val="20"/>
          <w:lang w:eastAsia="ar-SA"/>
        </w:rPr>
        <w:t>lokalizację kondygnacji podziemnej budynków;</w:t>
      </w:r>
    </w:p>
    <w:p w:rsidR="00283023" w:rsidRPr="00824937" w:rsidRDefault="00283023" w:rsidP="00283023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5.</w:t>
      </w:r>
      <w:r w:rsidRPr="00824937">
        <w:rPr>
          <w:sz w:val="20"/>
          <w:szCs w:val="20"/>
          <w:lang w:eastAsia="ar-SA"/>
        </w:rPr>
        <w:t>lokalizację obiektów małej architektury oraz zbiorników retencyjnych wód opadowych;</w:t>
      </w:r>
    </w:p>
    <w:p w:rsidR="00283023" w:rsidRPr="00824937" w:rsidRDefault="00283023" w:rsidP="00283023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</w:t>
      </w:r>
      <w:r w:rsidRPr="00824937">
        <w:rPr>
          <w:sz w:val="20"/>
          <w:szCs w:val="20"/>
          <w:lang w:eastAsia="ar-SA"/>
        </w:rPr>
        <w:t>lokalizacje ścieżek rowerowych;</w:t>
      </w:r>
    </w:p>
    <w:p w:rsidR="00283023" w:rsidRPr="00824937" w:rsidRDefault="00283023" w:rsidP="00283023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</w:t>
      </w:r>
      <w:r w:rsidRPr="00824937">
        <w:rPr>
          <w:sz w:val="20"/>
          <w:szCs w:val="20"/>
          <w:lang w:eastAsia="ar-SA"/>
        </w:rPr>
        <w:t>wydzielenie działek budowlanych o powierzchni nie większej niż 0,05 ha z przeznaczeniem pod lokalizację urządzeń infrastruktury technicznej wraz z dojazdem o szerokości nie mniejszej niż 3,5m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Przy zagospodarowaniu terenu objętym planem należy uwzględnić:</w:t>
      </w:r>
    </w:p>
    <w:p w:rsidR="00283023" w:rsidRPr="00824937" w:rsidRDefault="00283023" w:rsidP="00283023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1.</w:t>
      </w:r>
      <w:r w:rsidRPr="00824937">
        <w:rPr>
          <w:sz w:val="20"/>
          <w:szCs w:val="20"/>
          <w:lang w:eastAsia="ar-SA"/>
        </w:rPr>
        <w:t>położenie w obrębie obszarów o wysokim poziomie wód gruntowych, poprzez dostosowanie lokalizacji obiektów i technologii ich posadowienia do warunków geotechnicznych posadowienia obiektów na gruncie oraz zgodnie z ustaleniami zawartymi w uchwale;</w:t>
      </w:r>
    </w:p>
    <w:p w:rsidR="00283023" w:rsidRPr="00824937" w:rsidRDefault="00283023" w:rsidP="00283023">
      <w:pPr>
        <w:shd w:val="clear" w:color="auto" w:fill="FFFFFF"/>
        <w:ind w:left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</w:t>
      </w:r>
      <w:r w:rsidRPr="00824937">
        <w:rPr>
          <w:sz w:val="20"/>
          <w:szCs w:val="20"/>
          <w:lang w:eastAsia="ar-SA"/>
        </w:rPr>
        <w:t>położenie na obszarze zagrożonym zalaniem wodami powodziowymi rzeki Wisły o prawdopodobieństwie wystąpienia raz na 100 lat w przypadku całkowitego zniszczenia obwałowania rzeki- na podstawie map zagrożenia powodziowego opracowanych przez Prezesa Krajowego Zarządu Gospodarki Wodnej, poprzez zagospodarowanie zgodne z ustaleniami zawartymi w niniejszej uchwale.</w:t>
      </w:r>
    </w:p>
    <w:p w:rsidR="00283023" w:rsidRDefault="00283023" w:rsidP="00283023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b/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Zasady obsługi terenu w zakresie infrastruktury technicznej: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1.Zaopatrzenie w energię elektryczną: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poprzez rozbudowę istniejących sieci średniego i niskiego napięcia przebiegających przez teren objęty planem,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b) poprzez budowę nowej sieci elektroenergetycznej o parametrach nie większych niż 30 </w:t>
      </w:r>
      <w:proofErr w:type="spellStart"/>
      <w:r>
        <w:rPr>
          <w:sz w:val="20"/>
          <w:szCs w:val="20"/>
          <w:lang w:eastAsia="ar-SA"/>
        </w:rPr>
        <w:t>kV</w:t>
      </w:r>
      <w:proofErr w:type="spellEnd"/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c) ze stacji transformatorowych zlokalizowanych poza granicami planu lub na terenie objętym planem,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d) dopuszcza się zaopatrzenie w energię elektryczną z indywidualnych źródeł energii odnawialnej-  wykorzystujących energię promieniowania słonecznego, geotermalną lub hydrotermalną-  zlokalizowanych na terenie objętym planem;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2.Zaopatrzenie w wodę poprzez rozbudowę istniejącej sieci wodociągowej przebiegającej we wschodniej części terenu objętego planem lub budowę nowej sieci wodociągowej o parametrach nie mniejszych niż 40 mm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3.Zaopatrzenie w gaz poprzez rozbudowę istniejącej sieci gazowej przebiegającej we wschodniej części terenu objętego planem, lub budowę nowej sieci gazowej o ciśnieniu nie mniejszym niż 2kPa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4.Zaopatrzenie w sieć telekomunikacyjną poprzez budowę i rozbudowę sieci teletechnicznych zlokalizowanych na terenie objętym planem lub poza jego granicami oraz z indywidualnych systemów telekomunikacyjnych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5. Odprowadzenie ścieków bytowo- sanitarnych: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istniejącej sieci kanalizacyjnej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poprzez rozbudowę istniejącej sieci o przekroju kolektorów głównych nie mniejszej niż Ø200,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 projektowanych kolektorów głównych sieci ogólnospławnej o parametrach nie mniejszych niż Ø200,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dla terenu 4UP dopuszcza się do czasu realizacji kanalizacji sanitarnej odprowadzanie ścieków bytowo-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sanitarnych do bezodpływowych zbiorników na nieczystości ciekłe z wywożeniem na oczyszczalnię 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ścieków lub do indywidualnych oczyszczalni ścieków, z odprowadzeniem oczyszczonych ścieków 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bytowo- sanitarnych do rzeki Babulówka.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6.Odprowadzenie ścieków przemysłowych pochodzących z prowadzonej działalności usługowej oraz produkcyjnej: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należy rozwiązać w dostosowaniu do prowadzonej działalności zgodnie z przepisami szczególnymi w tym zakresie,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b)w szczelnych zbiornikach na własnej działce z ich późniejszym unieszkodliwianiem lub do oczyszczalni ścieków zlokalizowanych na terenie działki z odprowadzeniem do rzeki Babulówki,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c) dopuszcza się odprowadzenie ścieków do sieci kanalizacji sanitarnej zlokalizowanej na terenie objętym planem oraz przebiegającej  poza jego granicami poprzez jej przebudowę i rozbudowę,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d) zakazuje się wprowadzanie do wód lub do gruntu nieoczyszczonych ścieków.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7. Odprowadzenie wód opadowo- rozpadowych: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a) do projektowanej lokalnej sieci kanalizacji deszczowej lub ogólnospławnej o przekroju kolektorów głównych nie mniejszym niż Ø 200 mm, a następnie do zbiorników retencyjnych, rowów lub rzeki Babulówki,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b) nie dopuszcza się odprowadzenia do wód lub do gruntu nieoczyszczonych wód opadowo- roztopowych z powierzchni szczelnych narażonych na zanieczyszczenie;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8.Gromadzenie odpadów komunalnych oraz związanych z prowadzoną działalnością usługową i produkcyjną, w szczelnych pojemnikach na własnej działce i usuwanie na zasadach obowiązujących w gminie.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9. Ogrzewanie budynków indywidualne nie pogarszające stanu środowiska.</w:t>
      </w:r>
    </w:p>
    <w:p w:rsidR="00283023" w:rsidRDefault="00283023" w:rsidP="00283023">
      <w:pPr>
        <w:shd w:val="clear" w:color="auto" w:fill="FFFFFF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</w:t>
      </w: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Na terenach UP dopuszcza się, lokalizowanie przedsięwzięć  mogących znacząco oddziaływać na środowisko, w rozumieniu przepisów dotyczących ochrony środowiska, za wyjątkiem:</w:t>
      </w:r>
    </w:p>
    <w:p w:rsidR="00283023" w:rsidRDefault="00283023" w:rsidP="00283023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składowisk odpadów, w tym niebezpiecznych , instalacji związanych z odzyskiem tub unieszkodliwianiem odpadów niebezpiecznych;</w:t>
      </w:r>
    </w:p>
    <w:p w:rsidR="00283023" w:rsidRDefault="00283023" w:rsidP="00283023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zakładów o zwiększonym lub o dużym ryzyku wystąpienia poważnej awarii przemysłowej.</w:t>
      </w:r>
    </w:p>
    <w:p w:rsidR="00283023" w:rsidRDefault="00283023" w:rsidP="00283023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 granicach  terenów UP dopuszcza się, lokalizację  urządzeń wytwarzających energię z odnawialnych źródeł energii w tym o mocy przekraczającej100 kW, a także ich stref ochronnych związanych z ograniczeniami w zabudowie oraz zagospodarowaniu i użytkowaniu terenu, w tym:</w:t>
      </w:r>
    </w:p>
    <w:p w:rsidR="00283023" w:rsidRDefault="00283023" w:rsidP="00283023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urządzenia</w:t>
      </w:r>
      <w:r>
        <w:rPr>
          <w:rFonts w:eastAsia="Lucida Sans Unicode"/>
          <w:sz w:val="20"/>
          <w:szCs w:val="20"/>
        </w:rPr>
        <w:tab/>
        <w:t>fotowoltaiczne do produkcji</w:t>
      </w:r>
      <w:r>
        <w:rPr>
          <w:rFonts w:eastAsia="Lucida Sans Unicode"/>
          <w:sz w:val="20"/>
          <w:szCs w:val="20"/>
        </w:rPr>
        <w:tab/>
        <w:t>energii</w:t>
      </w:r>
      <w:r>
        <w:rPr>
          <w:rFonts w:eastAsia="Lucida Sans Unicode"/>
          <w:sz w:val="20"/>
          <w:szCs w:val="20"/>
        </w:rPr>
        <w:tab/>
        <w:t>elektrycznej</w:t>
      </w:r>
      <w:r>
        <w:rPr>
          <w:rFonts w:eastAsia="Lucida Sans Unicode"/>
          <w:sz w:val="20"/>
          <w:szCs w:val="20"/>
        </w:rPr>
        <w:tab/>
        <w:t>należy lokalizować w odległości nie mniejszej niż 5 m od linii rozgraniczających terenu i granicy planu,</w:t>
      </w: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 - zaopatrzenie w energię elektryczną: </w:t>
      </w:r>
    </w:p>
    <w:p w:rsidR="00283023" w:rsidRDefault="00283023" w:rsidP="00283023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lastRenderedPageBreak/>
        <w:t>a) poprzez włączenie do istniejącej sieci elektroenergetycznej 200kV zlokalizowanej na terenie objętym  planem poprzez odpowiednie systemy redukcyjne i przesyłowe,</w:t>
      </w:r>
    </w:p>
    <w:p w:rsidR="00283023" w:rsidRDefault="00283023" w:rsidP="00283023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b) do sieci elektroenergetycznej średniego lub wysokiego napięcia zlokalizowanej na terenie  objętym planem lub poza jego granicami, poprzez ich przebudowę, rozbudowę, lub budowę, poprzez odpowiednie systemy redukcyjne i przesyłowe.</w:t>
      </w:r>
    </w:p>
    <w:p w:rsidR="00283023" w:rsidRDefault="00283023" w:rsidP="00283023">
      <w:pPr>
        <w:widowControl w:val="0"/>
        <w:suppressAutoHyphens/>
        <w:ind w:firstLine="709"/>
        <w:jc w:val="both"/>
        <w:rPr>
          <w:rFonts w:eastAsia="Lucida Sans Unicode"/>
          <w:sz w:val="20"/>
          <w:szCs w:val="20"/>
        </w:rPr>
      </w:pP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zagospodarowania terenu: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I) ustala się dla budynków nieprzekraczalne linie zabudowy zgodnie z rysunkiem planu;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dopuszcza się, zagospodarowanie terenu w dowolnych proporcjach dla realizacji funkcji usługowych, produkcyjnych, składowych i magazynowych;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-udział powierzchni biologicznie czynnej nie mniejszy niż 20% powierzchni działki budowlanej,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wielkość powierzchni zabudowy w stosunku do powierzchni działki budowlanej nie większa niż 60%,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wskaźnik intensywności zabudowy nie mniejszy niż 0,01 i nie większy niż 3 powierzchni działki budowlanej.</w:t>
      </w: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283023" w:rsidRDefault="00283023" w:rsidP="00283023">
      <w:pPr>
        <w:widowControl w:val="0"/>
        <w:suppressAutoHyphens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Zasady podziału na działki budowlane:</w:t>
      </w:r>
    </w:p>
    <w:p w:rsidR="00283023" w:rsidRDefault="00283023" w:rsidP="00283023">
      <w:pPr>
        <w:widowControl w:val="0"/>
        <w:suppressAutoHyphens/>
        <w:rPr>
          <w:rFonts w:eastAsia="Lucida Sans Unicode"/>
          <w:b/>
          <w:sz w:val="20"/>
          <w:szCs w:val="20"/>
        </w:rPr>
      </w:pP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1. Teren 2.UP: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2.KDD z możliwością odchylenia 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2. Teren 3.UP: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0,2 ha,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25m,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budowlane prostopadle do drogi 1KDD oraz prostopadle do granic terenu 3.UP z  możliwością odchylenia do 3˚,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3. Teren 4.UP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a) powierzchnia działki nie mniejsza niż 0,4 ha,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b) szerokość frontu działki nie mniejsza niż 40m,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     c) podział na działki prostopadle i równolegle do drogi 1.KDD i 3.KDD z możliwością odchylenia </w:t>
      </w:r>
    </w:p>
    <w:p w:rsidR="00283023" w:rsidRDefault="00283023" w:rsidP="00283023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do 3˚,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budynków o funkcji usługowej, produkcyjnej, składowej i magazynowej: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wysokość zabudowy do 26 m;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- dach płaski, dach oparty na łuku, dach o schemacie jedno- spadowym lub dwuspadowym i nachyleniu połaci do 40°;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 kierunek lokalizacji głównej kalenicy równolegle lub prostopadle do linii zabudowy z możliwość odchylenia do 5°.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  <w:sz w:val="20"/>
          <w:szCs w:val="20"/>
        </w:rPr>
      </w:pP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Cechy zabudowy dla wiat, budynków gospodarczych, garażowych i o połączonych funkcjach:</w:t>
      </w:r>
    </w:p>
    <w:p w:rsidR="00283023" w:rsidRDefault="00283023" w:rsidP="00283023">
      <w:pPr>
        <w:widowControl w:val="0"/>
        <w:suppressAutoHyphens/>
        <w:ind w:left="72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-wysokość zabudowy do 10m</w:t>
      </w:r>
    </w:p>
    <w:p w:rsidR="00283023" w:rsidRDefault="00283023" w:rsidP="00283023">
      <w:pPr>
        <w:widowControl w:val="0"/>
        <w:suppressAutoHyphens/>
        <w:ind w:left="360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- dach płaski, dach oparty na łuku, dach o schemacie jednospadowym lub dwuspadowym i nachyleniu  połaci do 40°;</w:t>
      </w:r>
    </w:p>
    <w:p w:rsidR="00283023" w:rsidRDefault="00283023" w:rsidP="00283023">
      <w:pPr>
        <w:widowControl w:val="0"/>
        <w:suppressAutoHyphens/>
        <w:ind w:left="568"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- kierunek lokalizacji głównej kalenicy równolegle lub prostopadle do linii zabudowy z możliwością odchylenia do 5°.</w:t>
      </w: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Obiekty budowlane (z wyłączeniem budynków) i urządzenia techniczne</w:t>
      </w:r>
      <w:r>
        <w:rPr>
          <w:rFonts w:eastAsia="Lucida Sans Unicode"/>
          <w:sz w:val="20"/>
          <w:szCs w:val="20"/>
        </w:rPr>
        <w:t xml:space="preserve"> związane z podstawowym przeznaczeniem terenu o wysokości nie większej niż 45 m. Lokalizacja w odległości nie mniejszej niż 20 m od linii rozgraniczającej dróg publicznych oraz terenów leśnych.</w:t>
      </w: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Miejsca postojowe:</w:t>
      </w:r>
      <w:r>
        <w:rPr>
          <w:rFonts w:eastAsia="Lucida Sans Unicode"/>
          <w:sz w:val="20"/>
          <w:szCs w:val="20"/>
        </w:rPr>
        <w:t xml:space="preserve"> nie mniej niż 1 miejsce na każde rozpoczęte l00 m2 powierzchni całkowitej budynku lub nie mniej niż 1 miejsce na 5-ciu zatrudnionych, lecz nie mniej niż 5 miejsc ogółem.</w:t>
      </w:r>
    </w:p>
    <w:p w:rsidR="00283023" w:rsidRDefault="00283023" w:rsidP="00283023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Dostępność komunikacyjna</w:t>
      </w:r>
      <w:r>
        <w:rPr>
          <w:rFonts w:eastAsia="Lucida Sans Unicode"/>
          <w:sz w:val="20"/>
          <w:szCs w:val="20"/>
        </w:rPr>
        <w:t xml:space="preserve"> terenów bezpośrednio do drogi 1.KOO, 2.KOO i 3.KDO oraz przez drogi niewyznaczone na rysunku planu o szerokości nie mniejszej   niż 10 m i długości całkowitej nie większej niż 300 m z placami manewrowymi na zakończeniu, do ww. dróg publicznych.</w:t>
      </w: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</w:rPr>
      </w:pPr>
    </w:p>
    <w:p w:rsidR="00283023" w:rsidRDefault="00283023" w:rsidP="00283023">
      <w:pPr>
        <w:widowControl w:val="0"/>
        <w:suppressAutoHyphens/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Uchwała Nr XV/154/17 Rady Gminy w Padwi Narodowej z dnia 28 lutego 2017 r, w sprawie uchwalenia miejscowego planu zagospodarowania przestrzennego „RUSINÓW” dla terenu położonego w Padwi Narodowej, Zarówniu i Zachwiejowie w rejonie Linii Hutniczo </w:t>
      </w:r>
      <w:r>
        <w:rPr>
          <w:rFonts w:eastAsia="Lucida Sans Unicode"/>
        </w:rPr>
        <w:lastRenderedPageBreak/>
        <w:t xml:space="preserve">Szerokotorowej </w:t>
      </w:r>
      <w:hyperlink r:id="rId4" w:history="1">
        <w:r>
          <w:rPr>
            <w:rStyle w:val="Hipercze"/>
            <w:rFonts w:eastAsia="Lucida Sans Unicode"/>
          </w:rPr>
          <w:t>https://padewnarodowa.biuletyn.net/fls/bip_pliki/2017_11/BIPOLD005377/5377.pdf</w:t>
        </w:r>
      </w:hyperlink>
      <w:r>
        <w:rPr>
          <w:rFonts w:eastAsia="Lucida Sans Unicode"/>
        </w:rPr>
        <w:t xml:space="preserve"> </w:t>
      </w:r>
    </w:p>
    <w:p w:rsidR="00283023" w:rsidRDefault="00283023" w:rsidP="00283023"/>
    <w:p w:rsidR="00283023" w:rsidRPr="000F56EA" w:rsidRDefault="00283023" w:rsidP="00283023">
      <w:pPr>
        <w:rPr>
          <w:b/>
          <w:i/>
          <w:u w:val="single"/>
        </w:rPr>
      </w:pPr>
      <w:r w:rsidRPr="000F56EA">
        <w:rPr>
          <w:b/>
          <w:i/>
          <w:u w:val="single"/>
        </w:rPr>
        <w:t>III. Postępowanie i umowa</w:t>
      </w:r>
    </w:p>
    <w:p w:rsidR="00283023" w:rsidRDefault="00283023" w:rsidP="00283023">
      <w:pPr>
        <w:rPr>
          <w:b/>
        </w:rPr>
      </w:pPr>
    </w:p>
    <w:p w:rsidR="00283023" w:rsidRPr="000F56EA" w:rsidRDefault="00283023" w:rsidP="00283023">
      <w:pPr>
        <w:rPr>
          <w:b/>
          <w:sz w:val="22"/>
          <w:szCs w:val="22"/>
        </w:rPr>
      </w:pPr>
      <w:r w:rsidRPr="000F56EA">
        <w:rPr>
          <w:b/>
          <w:sz w:val="22"/>
          <w:szCs w:val="22"/>
        </w:rPr>
        <w:t xml:space="preserve">1. Ustanowienie służebności </w:t>
      </w:r>
    </w:p>
    <w:p w:rsidR="00283023" w:rsidRDefault="00283023" w:rsidP="00283023">
      <w:pPr>
        <w:pStyle w:val="Default"/>
      </w:pPr>
      <w:r>
        <w:rPr>
          <w:sz w:val="10"/>
          <w:szCs w:val="10"/>
        </w:rPr>
        <w:t xml:space="preserve"> </w:t>
      </w:r>
    </w:p>
    <w:p w:rsidR="00283023" w:rsidRDefault="00283023" w:rsidP="00283023">
      <w:pPr>
        <w:jc w:val="both"/>
        <w:rPr>
          <w:iCs/>
          <w:sz w:val="22"/>
          <w:szCs w:val="22"/>
        </w:rPr>
      </w:pPr>
      <w:r w:rsidRPr="00DF1DD1">
        <w:rPr>
          <w:iCs/>
          <w:sz w:val="22"/>
          <w:szCs w:val="22"/>
        </w:rPr>
        <w:t xml:space="preserve">Przez działki oznaczone numerami 2488, 2489, 2520, 2521 – obręb Padew Narodowa oraz działki 15/1 i </w:t>
      </w:r>
      <w:r>
        <w:rPr>
          <w:iCs/>
          <w:sz w:val="22"/>
          <w:szCs w:val="22"/>
        </w:rPr>
        <w:t>19/1 – obręb Zachwiejów została</w:t>
      </w:r>
      <w:r w:rsidRPr="00DF1DD1">
        <w:rPr>
          <w:iCs/>
          <w:sz w:val="22"/>
          <w:szCs w:val="22"/>
        </w:rPr>
        <w:t xml:space="preserve"> ustanowiona nieograniczona w czasie i nieodpłatna służebność przesyłu sieci wodociągowej i kanalizacyjnej na rzecz Gminy Padew Narodowa. Zakres służebności został wskazany na mapie zarejestrowanej przez Starostę Mieleckiego pod numerem P.1811.2022.3689. Opisane prawo służebności przesyłu zostanie ujawnione w księgach wieczystych.</w:t>
      </w:r>
      <w:r>
        <w:rPr>
          <w:iCs/>
          <w:sz w:val="22"/>
          <w:szCs w:val="22"/>
        </w:rPr>
        <w:t xml:space="preserve"> </w:t>
      </w:r>
    </w:p>
    <w:p w:rsidR="00283023" w:rsidRPr="00DF1DD1" w:rsidRDefault="00283023" w:rsidP="00283023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>Mapa służebności stanowi załącznik do ogłoszenia o przetargu.</w:t>
      </w:r>
    </w:p>
    <w:p w:rsidR="00283023" w:rsidRPr="00DF1DD1" w:rsidRDefault="00283023" w:rsidP="00283023">
      <w:pPr>
        <w:jc w:val="both"/>
        <w:rPr>
          <w:b/>
          <w:sz w:val="22"/>
          <w:szCs w:val="22"/>
        </w:rPr>
      </w:pPr>
    </w:p>
    <w:p w:rsidR="00283023" w:rsidRPr="000F56EA" w:rsidRDefault="00283023" w:rsidP="00283023">
      <w:pPr>
        <w:pStyle w:val="Default"/>
        <w:jc w:val="both"/>
        <w:rPr>
          <w:b/>
          <w:iCs/>
        </w:rPr>
      </w:pPr>
      <w:r>
        <w:rPr>
          <w:b/>
        </w:rPr>
        <w:t>2</w:t>
      </w:r>
      <w:r w:rsidRPr="000F56EA">
        <w:rPr>
          <w:b/>
        </w:rPr>
        <w:t>.</w:t>
      </w:r>
      <w:r w:rsidRPr="000F56EA">
        <w:rPr>
          <w:b/>
          <w:i/>
          <w:iCs/>
          <w:sz w:val="22"/>
          <w:szCs w:val="22"/>
        </w:rPr>
        <w:t xml:space="preserve"> </w:t>
      </w:r>
      <w:r w:rsidRPr="000F56EA">
        <w:rPr>
          <w:b/>
          <w:iCs/>
        </w:rPr>
        <w:t>Zakończenie budowy i uruchomienie działalności gospodarczej</w:t>
      </w:r>
    </w:p>
    <w:p w:rsidR="00283023" w:rsidRPr="000F56EA" w:rsidRDefault="00283023" w:rsidP="00283023">
      <w:pPr>
        <w:pStyle w:val="Default"/>
        <w:jc w:val="both"/>
        <w:rPr>
          <w:iCs/>
        </w:rPr>
      </w:pP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Zakończenie budowy w ramach planowanej inwestycji i uruchomienie działalności gospodarczej nastąpi w terminie do 5 lat, licząc od dnia zawarcia umowy przenoszącej własność nieruchomości w postaci aktu notarialnego, będącej efektem przetargu przeprowadzonego na podstawie niniejszego ogłoszenia. Za zakończenie budowy ogłaszający przetarg uznaje datę podpisania przez kierownika budowy oświadczenia o jej zakończeniu, zgodnie z obowiązującymi przepisami i uzyskanie – o ile będzie to wymagane przepisami prawa – pozwolenia na użytkowanie. Przez uruchomienie działalności gospodarczej ogłaszający przetarg rozumie rozpoczęcie faktycznego wykorzystania nieruchomości na prowadzenie określonej działalności gospodarczej. </w:t>
      </w:r>
    </w:p>
    <w:p w:rsidR="00283023" w:rsidRPr="00B1779E" w:rsidRDefault="00283023" w:rsidP="00283023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Termin, o którym mowa powyżej, będzie mógł zostać przedłużony przez Gminę na wniosek nabywcy nieruchomości, jeżeli nie będzie mógł być dotrzymany z przyczyn obiektywnych, niezależnych od nabywcy.</w:t>
      </w:r>
    </w:p>
    <w:p w:rsidR="00283023" w:rsidRPr="00B1779E" w:rsidRDefault="00283023" w:rsidP="00283023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3. Nabywca nieruchomości zobowiąże się w umowie sprzedaży nieruchomości do przekazywania Gminie corocznych informacji na temat stanu zaawansowania: budowy oraz czynności niezbędnych do uruchomienia działalności gospodarczej – w ciągu 5 lat od dnia zawarcia umowy sprzedaży nieruchomości. Informacja będzie przekazywana w terminie 30 dni od dnia zakończenia kolejnego roku, liczonego od dnia zawarcia umowy sprzedaży nieruchomości.</w:t>
      </w:r>
    </w:p>
    <w:p w:rsidR="00283023" w:rsidRPr="00B1779E" w:rsidRDefault="00283023" w:rsidP="00283023">
      <w:pPr>
        <w:jc w:val="both"/>
        <w:rPr>
          <w:iCs/>
          <w:sz w:val="22"/>
          <w:szCs w:val="22"/>
        </w:rPr>
      </w:pPr>
    </w:p>
    <w:p w:rsidR="00283023" w:rsidRPr="000F56EA" w:rsidRDefault="00283023" w:rsidP="00283023">
      <w:pPr>
        <w:jc w:val="both"/>
        <w:rPr>
          <w:b/>
        </w:rPr>
      </w:pPr>
      <w:r w:rsidRPr="000F56EA">
        <w:rPr>
          <w:b/>
          <w:iCs/>
          <w:sz w:val="22"/>
          <w:szCs w:val="22"/>
        </w:rPr>
        <w:t>3. Odkup</w:t>
      </w:r>
    </w:p>
    <w:p w:rsidR="00283023" w:rsidRPr="000F56EA" w:rsidRDefault="00283023" w:rsidP="00283023">
      <w:pPr>
        <w:rPr>
          <w:b/>
        </w:rPr>
      </w:pPr>
    </w:p>
    <w:p w:rsidR="00283023" w:rsidRPr="000F56EA" w:rsidRDefault="00283023" w:rsidP="00283023">
      <w:pPr>
        <w:jc w:val="both"/>
        <w:rPr>
          <w:b/>
        </w:rPr>
      </w:pPr>
      <w:r w:rsidRPr="000F56EA">
        <w:rPr>
          <w:iCs/>
          <w:sz w:val="22"/>
          <w:szCs w:val="22"/>
        </w:rPr>
        <w:t>Gmina zastrzega sobie prawo odkupu nieruchomości stanowiącej przedmiot przetargu, za zwrotem ceny i kosztów sprzedaży oraz za zwrotem nakładów, przy czym zwrot nakładów, które nie stanowiły nakładów koniecznych, będzie należał się nabywcy tylko w granicach istniejącego zwiększenia wartości rzeczy. Prawo odkupu będzie przysługiwało Gminie w ciągu 5 lat od dnia zawarcia umowy przenoszącej własność nieruchomości.</w:t>
      </w:r>
    </w:p>
    <w:p w:rsidR="00283023" w:rsidRDefault="00283023" w:rsidP="00283023">
      <w:pPr>
        <w:rPr>
          <w:b/>
        </w:rPr>
      </w:pPr>
    </w:p>
    <w:p w:rsidR="00283023" w:rsidRDefault="00283023" w:rsidP="00283023">
      <w:pPr>
        <w:rPr>
          <w:b/>
        </w:rPr>
      </w:pPr>
      <w:r>
        <w:rPr>
          <w:b/>
        </w:rPr>
        <w:t>4. Katalog kar umownych</w:t>
      </w:r>
    </w:p>
    <w:p w:rsidR="00283023" w:rsidRDefault="00283023" w:rsidP="00283023">
      <w:pPr>
        <w:rPr>
          <w:b/>
        </w:rPr>
      </w:pP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Gmina zastrzega sobie prawo do wprowadzenia do umowy sprzedaży nieruchomości uprawnienia do naliczenia kary umownej w razie: </w:t>
      </w: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1) niedotrzymania deklarowanego terminu zakończenia budowy lub uruchomienia działalności gospodarczej – w wysokości 1% ceny sprzedaży nieruchomości brutto za każdy miesiąc opóźnienia; </w:t>
      </w: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2) niewykonania przez nabywcę zwrotnego przeniesienia własności nieruchomości – w razie skorzystania przez Gminę z prawa odkupu – w wysokości 1000 zł za każdy dzień powyżej 30 dni od dnia złożenia przez Gminę nabywcy oświadczenia w tym zakresie; </w:t>
      </w: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3) niewprowadzenia zabezpieczeń w umowie z kolejnym nabywcą, 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o których mowa w rozdziale III ust. 6 pkt 2  – w wysokości 10% ceny sprzedaży nieruchomości brutto. </w:t>
      </w: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2. Kary będą płatne na podstawie not księgowych, wystawianych w terminach: </w:t>
      </w:r>
    </w:p>
    <w:p w:rsidR="00283023" w:rsidRPr="00B1779E" w:rsidRDefault="00283023" w:rsidP="00283023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lastRenderedPageBreak/>
        <w:t>1) w zakresie kar, o których mowa w ust. 1 pkt 1 i 2 – w terminie do 15 dnia miesiąca następującego po danym kwartale kalendarzowym, w którym należało naliczyć karę umowną;</w:t>
      </w: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2) w zakresie kary, o której mowa w ust. 1 pkt 3 – w terminie 30 dni od dnia powzięcia przez Gminę wiedzy na temat zdarzenia. </w:t>
      </w: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3. Termin płatności kar, o których mowa w ust. 1, będzie wynosił 14 dni od dnia wystawienia noty księgowej, o której mowa w ust. 2. </w:t>
      </w: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4. Opóźnienie w zapłacie kar, o których mowa w ust. 1, będzie wiązało się z naliczeniem przez Gminę odsetek ustawowych za każdy dzień opóźnienia. Odsetki będą płatne na podstawie noty księgowej, wystawianej na koniec każdego kwartału kalendarzowego. Ust. 3 stosuje się. </w:t>
      </w:r>
    </w:p>
    <w:p w:rsidR="00283023" w:rsidRPr="00B1779E" w:rsidRDefault="00283023" w:rsidP="00283023">
      <w:pPr>
        <w:jc w:val="both"/>
        <w:rPr>
          <w:b/>
        </w:rPr>
      </w:pPr>
      <w:r w:rsidRPr="00B1779E">
        <w:rPr>
          <w:iCs/>
          <w:sz w:val="22"/>
          <w:szCs w:val="22"/>
        </w:rPr>
        <w:t xml:space="preserve">5. Odpowiedzialność nabywcy z tytułu kar, o których mowa w ust. 1, nie przekroczy łącznie 25% ceny sprzedaży nieruchomości brutto, przy czym wskazane ograniczenie odpowiedzialności nie dotyczy odpowiedzialności z tytułu opóźnienia, o której mowa w ust. </w:t>
      </w:r>
      <w:r>
        <w:rPr>
          <w:iCs/>
          <w:sz w:val="22"/>
          <w:szCs w:val="22"/>
        </w:rPr>
        <w:t>4</w:t>
      </w:r>
      <w:r w:rsidRPr="00B1779E">
        <w:rPr>
          <w:iCs/>
          <w:sz w:val="22"/>
          <w:szCs w:val="22"/>
        </w:rPr>
        <w:t>.</w:t>
      </w:r>
    </w:p>
    <w:p w:rsidR="00283023" w:rsidRPr="00B1779E" w:rsidRDefault="00283023" w:rsidP="00283023">
      <w:pPr>
        <w:jc w:val="both"/>
        <w:rPr>
          <w:b/>
        </w:rPr>
      </w:pPr>
    </w:p>
    <w:p w:rsidR="00283023" w:rsidRDefault="00283023" w:rsidP="00283023">
      <w:pPr>
        <w:jc w:val="both"/>
        <w:rPr>
          <w:b/>
        </w:rPr>
      </w:pPr>
      <w:r>
        <w:rPr>
          <w:b/>
        </w:rPr>
        <w:t>5.Egzekucja obowiązków</w:t>
      </w:r>
    </w:p>
    <w:p w:rsidR="00283023" w:rsidRDefault="00283023" w:rsidP="00283023">
      <w:pPr>
        <w:jc w:val="both"/>
        <w:rPr>
          <w:b/>
        </w:rPr>
      </w:pP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akceptuje, że akt notarialny przenoszący własność nieruchomości, będzie stanowił tytuł egzekucyjny, o którym mowa w art. 777 § 1 pkt 4 i 5 ustawy z dnia 17 listopada 1964 r. – Kodeks postępowania cywilnego w zakresie: </w:t>
      </w: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- obowiązku zapłaty kar umownych wraz z odsetkami ustawowymi za opóźnienie – do kwoty stanowiącej </w:t>
      </w:r>
      <w:r w:rsidRPr="00B1779E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równowartość 30% ceny sprzedaży nieruchomości </w:t>
      </w:r>
      <w:r w:rsidRPr="00B1779E">
        <w:rPr>
          <w:rFonts w:ascii="Times New Roman" w:hAnsi="Times New Roman" w:cs="Times New Roman"/>
          <w:iCs/>
          <w:sz w:val="22"/>
          <w:szCs w:val="22"/>
        </w:rPr>
        <w:t xml:space="preserve">brutto. </w:t>
      </w: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83023" w:rsidRPr="00B1779E" w:rsidRDefault="00283023" w:rsidP="00283023">
      <w:pPr>
        <w:jc w:val="both"/>
        <w:rPr>
          <w:iCs/>
          <w:sz w:val="22"/>
          <w:szCs w:val="22"/>
        </w:rPr>
      </w:pPr>
      <w:r w:rsidRPr="00B1779E">
        <w:rPr>
          <w:iCs/>
          <w:sz w:val="22"/>
          <w:szCs w:val="22"/>
        </w:rPr>
        <w:t>2. W zakresie, o którym mowa w ust. 1 pkt 2, w razie braku terminowego uiszczenia kary umownej lub odsetek za opóźnienie w jej zapłacie, Gminie będzie przysługiwało prawo do wystąpienia z wnioskiem o nadanie aktowi notarialnemu klauzuli wykonalności w terminie do dnia 31 grudnia 2030 roku.</w:t>
      </w:r>
    </w:p>
    <w:p w:rsidR="00283023" w:rsidRPr="00B1779E" w:rsidRDefault="00283023" w:rsidP="00283023">
      <w:pPr>
        <w:jc w:val="both"/>
        <w:rPr>
          <w:iCs/>
          <w:sz w:val="22"/>
          <w:szCs w:val="22"/>
        </w:rPr>
      </w:pPr>
    </w:p>
    <w:p w:rsidR="00283023" w:rsidRDefault="00283023" w:rsidP="00283023">
      <w:pPr>
        <w:jc w:val="both"/>
        <w:rPr>
          <w:b/>
          <w:iCs/>
          <w:sz w:val="22"/>
          <w:szCs w:val="22"/>
        </w:rPr>
      </w:pPr>
      <w:r w:rsidRPr="00F71616">
        <w:rPr>
          <w:b/>
          <w:iCs/>
          <w:sz w:val="22"/>
          <w:szCs w:val="22"/>
        </w:rPr>
        <w:t>6.Klauzula ogólna</w:t>
      </w:r>
    </w:p>
    <w:p w:rsidR="00283023" w:rsidRDefault="00283023" w:rsidP="00283023">
      <w:pPr>
        <w:jc w:val="both"/>
        <w:rPr>
          <w:b/>
          <w:iCs/>
          <w:sz w:val="22"/>
          <w:szCs w:val="22"/>
        </w:rPr>
      </w:pPr>
    </w:p>
    <w:p w:rsidR="00283023" w:rsidRPr="00B1779E" w:rsidRDefault="00283023" w:rsidP="00283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779E">
        <w:rPr>
          <w:rFonts w:ascii="Times New Roman" w:hAnsi="Times New Roman" w:cs="Times New Roman"/>
          <w:iCs/>
          <w:sz w:val="22"/>
          <w:szCs w:val="22"/>
        </w:rPr>
        <w:t xml:space="preserve">1. Nabywca nieruchomości przyjmuje zobowiązanie, iż podane w ogłoszeniu warunki i uprawnienia zostaną zawarte w umowie sprzedaży nieruchomości. </w:t>
      </w:r>
    </w:p>
    <w:p w:rsidR="00283023" w:rsidRPr="00B1779E" w:rsidRDefault="00283023" w:rsidP="00283023">
      <w:pPr>
        <w:jc w:val="both"/>
        <w:rPr>
          <w:b/>
        </w:rPr>
      </w:pPr>
      <w:r w:rsidRPr="00B1779E">
        <w:rPr>
          <w:iCs/>
          <w:sz w:val="22"/>
          <w:szCs w:val="22"/>
        </w:rPr>
        <w:t>2. W razie dalszego zbycia nieruchomości jej pierwotny nabywca w umowie sprzedaży nieruchomości na rzecz kolejnego nabywcy wprowadzi postanowienia zabezpieczające realizację postanowień umowy sprzedaży nieruchomości zawartej pomiędzy nim a Gminą.</w:t>
      </w:r>
    </w:p>
    <w:p w:rsidR="00283023" w:rsidRPr="00B1779E" w:rsidRDefault="00283023" w:rsidP="00283023">
      <w:pPr>
        <w:jc w:val="both"/>
        <w:rPr>
          <w:b/>
        </w:rPr>
      </w:pPr>
    </w:p>
    <w:p w:rsidR="00283023" w:rsidRDefault="00283023" w:rsidP="00283023">
      <w:pPr>
        <w:jc w:val="both"/>
        <w:rPr>
          <w:b/>
        </w:rPr>
      </w:pPr>
      <w:r>
        <w:rPr>
          <w:b/>
        </w:rPr>
        <w:t>7.Kwestie proceduralne</w:t>
      </w:r>
    </w:p>
    <w:p w:rsidR="00283023" w:rsidRDefault="00283023" w:rsidP="00283023">
      <w:pPr>
        <w:jc w:val="both"/>
        <w:rPr>
          <w:b/>
        </w:rPr>
      </w:pPr>
    </w:p>
    <w:p w:rsidR="00283023" w:rsidRDefault="00283023" w:rsidP="00283023">
      <w:pPr>
        <w:jc w:val="both"/>
        <w:rPr>
          <w:b/>
        </w:rPr>
      </w:pPr>
      <w:r w:rsidRPr="00B1779E">
        <w:rPr>
          <w:b/>
        </w:rPr>
        <w:t>1.Wpłata wadium w pieniądzu w wysokości 2 397</w:t>
      </w:r>
      <w:r>
        <w:rPr>
          <w:b/>
        </w:rPr>
        <w:t> </w:t>
      </w:r>
      <w:r w:rsidRPr="00B1779E">
        <w:rPr>
          <w:b/>
        </w:rPr>
        <w:t>574</w:t>
      </w:r>
      <w:r>
        <w:rPr>
          <w:b/>
        </w:rPr>
        <w:t>,00</w:t>
      </w:r>
      <w:r w:rsidRPr="00B1779E">
        <w:rPr>
          <w:b/>
        </w:rPr>
        <w:t xml:space="preserve"> zł. z dopiskiem „wadium – dz. 15/1,19/1,2488,2489,2519,2520,2521” powinna być dokonana odpowiednio wcześniej , tak aby </w:t>
      </w:r>
      <w:r w:rsidRPr="001E2B4D">
        <w:rPr>
          <w:b/>
          <w:u w:val="single"/>
        </w:rPr>
        <w:t xml:space="preserve">w dniu  </w:t>
      </w:r>
      <w:r>
        <w:rPr>
          <w:b/>
          <w:u w:val="single"/>
        </w:rPr>
        <w:t>22.05.2024</w:t>
      </w:r>
      <w:r w:rsidRPr="001E2B4D">
        <w:rPr>
          <w:b/>
          <w:u w:val="single"/>
        </w:rPr>
        <w:t>r.</w:t>
      </w:r>
      <w:r w:rsidRPr="001E2B4D">
        <w:rPr>
          <w:b/>
        </w:rPr>
        <w:t xml:space="preserve"> </w:t>
      </w:r>
      <w:r w:rsidRPr="00B1779E">
        <w:rPr>
          <w:b/>
        </w:rPr>
        <w:t>wadium znajdowało się na rachunku  bankowym Urzędu Gminy  nr 42 9183 1015 2004 4000 0130 0001</w:t>
      </w:r>
      <w:r>
        <w:rPr>
          <w:b/>
        </w:rPr>
        <w:t>.</w:t>
      </w:r>
    </w:p>
    <w:p w:rsidR="00283023" w:rsidRDefault="00283023" w:rsidP="00283023">
      <w:pPr>
        <w:jc w:val="both"/>
        <w:rPr>
          <w:b/>
        </w:rPr>
      </w:pPr>
    </w:p>
    <w:p w:rsidR="00283023" w:rsidRPr="00824937" w:rsidRDefault="00283023" w:rsidP="00283023">
      <w:pPr>
        <w:jc w:val="both"/>
      </w:pPr>
      <w:r>
        <w:t>2. Termin pierwszego przetargu- 19.04.2023r.</w:t>
      </w:r>
    </w:p>
    <w:p w:rsidR="00283023" w:rsidRDefault="00283023" w:rsidP="00283023">
      <w:pPr>
        <w:jc w:val="both"/>
      </w:pPr>
      <w:r>
        <w:rPr>
          <w:b/>
        </w:rPr>
        <w:t xml:space="preserve">    </w:t>
      </w:r>
      <w:r>
        <w:t>Termin drugiego przetargu – 31.07.2023r.</w:t>
      </w:r>
    </w:p>
    <w:p w:rsidR="00283023" w:rsidRDefault="00283023" w:rsidP="00283023">
      <w:pPr>
        <w:jc w:val="both"/>
      </w:pPr>
      <w:r>
        <w:t xml:space="preserve">    Termin trzeciego przetargu – 21.02.2024r.</w:t>
      </w:r>
    </w:p>
    <w:p w:rsidR="00283023" w:rsidRDefault="00283023" w:rsidP="00283023">
      <w:pPr>
        <w:jc w:val="both"/>
      </w:pPr>
      <w:r>
        <w:t xml:space="preserve">    Termin czwartego przetargu- 21.02.2024r.</w:t>
      </w:r>
    </w:p>
    <w:p w:rsidR="00283023" w:rsidRPr="002D6A40" w:rsidRDefault="00283023" w:rsidP="00283023">
      <w:pPr>
        <w:jc w:val="both"/>
      </w:pPr>
    </w:p>
    <w:p w:rsidR="00283023" w:rsidRPr="00B1779E" w:rsidRDefault="00283023" w:rsidP="0028302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Pr="00B1779E">
        <w:rPr>
          <w:sz w:val="22"/>
          <w:szCs w:val="22"/>
          <w:lang w:eastAsia="ar-SA"/>
        </w:rPr>
        <w:t xml:space="preserve"> .Przetarg jest ważny bez względu na liczbę uczestników przetargu, jeżeli przynajmniej jeden uczestnik zaoferuje co najmniej jedno postąpienie powyżej ceny wywoławczej. O wysokości postąpienia decydują uczestnicy przetargu, z tym że postąpienie nie może wynosić mniej niż 1 % ceny wywoławczej, z zaokrągleniem w górę do pełnych dziesiątek złotych.</w:t>
      </w:r>
    </w:p>
    <w:p w:rsidR="00283023" w:rsidRPr="00B1779E" w:rsidRDefault="00283023" w:rsidP="0028302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83023" w:rsidRPr="00B1779E" w:rsidRDefault="00283023" w:rsidP="0028302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B1779E">
        <w:rPr>
          <w:sz w:val="22"/>
          <w:szCs w:val="22"/>
        </w:rPr>
        <w:t>. Uczestnik przetargu winien przedłożyć komisji przetargowej dokument potwierdzający jego tożsamość. Pełnomocnik występujący w imieniu innej osoby przedkłada komisji pełnomocnictwo podpisane własnoręcznie przez upoważniającego.</w:t>
      </w:r>
    </w:p>
    <w:p w:rsidR="00283023" w:rsidRPr="00B1779E" w:rsidRDefault="00283023" w:rsidP="00283023">
      <w:pPr>
        <w:jc w:val="both"/>
        <w:rPr>
          <w:sz w:val="22"/>
          <w:szCs w:val="22"/>
        </w:rPr>
      </w:pPr>
    </w:p>
    <w:p w:rsidR="00283023" w:rsidRPr="00B1779E" w:rsidRDefault="00283023" w:rsidP="0028302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1779E">
        <w:rPr>
          <w:sz w:val="22"/>
          <w:szCs w:val="22"/>
        </w:rPr>
        <w:t>. W przypadku osób prawnych lub innych podmiotów należy przedłożyć dokumenty potwierdzające status prawny w szczególności: wypis z KRS ( nie starszy niż miesiąc licząc od dnia  otwarcia przetargu) lub wypis z Centralnej Ewidencji i Informacji o Działalności Gospodarczej ( w przypadku spółki cywilnej również umowę spółki ) oraz właściwe pełnomocnictwa poświadczone notarialnie przez pozostałych wspólników spółki cywilnej.</w:t>
      </w:r>
    </w:p>
    <w:p w:rsidR="00283023" w:rsidRPr="00B1779E" w:rsidRDefault="00283023" w:rsidP="00283023">
      <w:pPr>
        <w:jc w:val="both"/>
        <w:rPr>
          <w:sz w:val="22"/>
          <w:szCs w:val="22"/>
        </w:rPr>
      </w:pPr>
      <w:r w:rsidRPr="00B1779E">
        <w:rPr>
          <w:sz w:val="22"/>
          <w:szCs w:val="22"/>
        </w:rPr>
        <w:t xml:space="preserve">W przypadku zagranicznych osób prawnych konieczne jest przedłożenie zagranicznych odpowiedników dokumentów, przetłumaczonych na język polski z klauzulą </w:t>
      </w:r>
      <w:proofErr w:type="spellStart"/>
      <w:r w:rsidRPr="00B1779E">
        <w:rPr>
          <w:sz w:val="22"/>
          <w:szCs w:val="22"/>
        </w:rPr>
        <w:t>Apostille</w:t>
      </w:r>
      <w:proofErr w:type="spellEnd"/>
      <w:r w:rsidRPr="00B1779E">
        <w:rPr>
          <w:sz w:val="22"/>
          <w:szCs w:val="22"/>
        </w:rPr>
        <w:t>.</w:t>
      </w:r>
    </w:p>
    <w:p w:rsidR="00283023" w:rsidRPr="00B1779E" w:rsidRDefault="00283023" w:rsidP="0028302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83023" w:rsidRDefault="00283023" w:rsidP="0028302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6. 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283023" w:rsidRDefault="00283023" w:rsidP="0028302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83023" w:rsidRPr="00964BBA" w:rsidRDefault="00283023" w:rsidP="0028302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Pr="00964BBA">
        <w:rPr>
          <w:sz w:val="22"/>
          <w:szCs w:val="22"/>
          <w:lang w:eastAsia="ar-SA"/>
        </w:rPr>
        <w:t>. Cena nieruchomości ustalona w drodze przetargu podlega zapłacie nie później niż do dnia  zawarcia umowy przenoszącej własność- art.70 ust.1 ustawy o gospodarce nieruchomościami.</w:t>
      </w:r>
    </w:p>
    <w:p w:rsidR="00283023" w:rsidRPr="00964BBA" w:rsidRDefault="00283023" w:rsidP="0028302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283023" w:rsidRDefault="00283023" w:rsidP="00283023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8.Koszty sporządzenia umowy notarialnej ponosi nabywca.</w:t>
      </w:r>
    </w:p>
    <w:p w:rsidR="00283023" w:rsidRDefault="00283023" w:rsidP="00283023">
      <w:pPr>
        <w:jc w:val="both"/>
        <w:rPr>
          <w:sz w:val="22"/>
          <w:szCs w:val="22"/>
        </w:rPr>
      </w:pPr>
    </w:p>
    <w:p w:rsidR="00283023" w:rsidRDefault="00283023" w:rsidP="00283023">
      <w:pPr>
        <w:jc w:val="both"/>
        <w:rPr>
          <w:sz w:val="22"/>
          <w:szCs w:val="22"/>
        </w:rPr>
      </w:pPr>
      <w:r>
        <w:rPr>
          <w:sz w:val="22"/>
          <w:szCs w:val="22"/>
        </w:rPr>
        <w:t>9. 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283023" w:rsidRDefault="00283023" w:rsidP="00283023">
      <w:pPr>
        <w:jc w:val="both"/>
        <w:rPr>
          <w:sz w:val="22"/>
          <w:szCs w:val="22"/>
        </w:rPr>
      </w:pPr>
    </w:p>
    <w:p w:rsidR="00283023" w:rsidRDefault="00283023" w:rsidP="00283023">
      <w:pPr>
        <w:jc w:val="both"/>
        <w:rPr>
          <w:sz w:val="22"/>
          <w:szCs w:val="22"/>
        </w:rPr>
      </w:pPr>
      <w:r>
        <w:rPr>
          <w:sz w:val="22"/>
          <w:szCs w:val="22"/>
        </w:rPr>
        <w:t>10. Wszelkich informacji  o przetargu  można uzyskać  w pokoju nr 9 Urzędu Gminy lub telefonicznie pod numerem telefonu - 15-851-44-67.</w:t>
      </w:r>
    </w:p>
    <w:p w:rsidR="00283023" w:rsidRDefault="00283023" w:rsidP="00283023">
      <w:pPr>
        <w:jc w:val="both"/>
        <w:rPr>
          <w:sz w:val="22"/>
          <w:szCs w:val="22"/>
        </w:rPr>
      </w:pPr>
    </w:p>
    <w:p w:rsidR="00283023" w:rsidRDefault="00283023" w:rsidP="002830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Przetargi zostaną przeprowadzone na </w:t>
      </w:r>
      <w:r>
        <w:t xml:space="preserve"> </w:t>
      </w:r>
      <w:r>
        <w:rPr>
          <w:sz w:val="22"/>
          <w:szCs w:val="22"/>
        </w:rPr>
        <w:t>podstawie art.11, art. 25 ust.1, art.38 -41 ustawy z dnia 21 sierpnia 1997r – o gospodarce nieruchomościami (tekst jednolity Dz.U.2023.344 z późniejszymi zmianami) oraz Rozporządzenia Rady Ministrów z dnia 14 września 2004r. w sprawie sposobu i trybu przeprowadzenia przetargów oraz rokowań na zbycie nieruchomości ( tekst jednolity Dz. U. z 2014r. poz. 1490 )</w:t>
      </w:r>
    </w:p>
    <w:p w:rsidR="00283023" w:rsidRPr="001E2B4D" w:rsidRDefault="00283023" w:rsidP="00283023">
      <w:pPr>
        <w:jc w:val="both"/>
        <w:rPr>
          <w:sz w:val="22"/>
          <w:szCs w:val="22"/>
        </w:rPr>
      </w:pPr>
      <w:r>
        <w:rPr>
          <w:sz w:val="22"/>
          <w:szCs w:val="22"/>
        </w:rPr>
        <w:t>Zamieszczono na stronie internetowej urzędu gminy, w Biuletynie Informacji Publicznej ,na tablicy ogłoszeń Urzędu Gminy  w dniu 25.03.2024</w:t>
      </w:r>
      <w:r w:rsidRPr="001E2B4D">
        <w:rPr>
          <w:sz w:val="22"/>
          <w:szCs w:val="22"/>
        </w:rPr>
        <w:t>r.</w:t>
      </w:r>
      <w:r w:rsidRPr="001E2B4D">
        <w:rPr>
          <w:sz w:val="20"/>
          <w:szCs w:val="20"/>
        </w:rPr>
        <w:t xml:space="preserve"> </w:t>
      </w:r>
    </w:p>
    <w:p w:rsidR="00283023" w:rsidRPr="001E2B4D" w:rsidRDefault="00283023" w:rsidP="00283023">
      <w:pPr>
        <w:jc w:val="both"/>
        <w:rPr>
          <w:sz w:val="22"/>
          <w:szCs w:val="22"/>
        </w:rPr>
      </w:pPr>
    </w:p>
    <w:p w:rsidR="00283023" w:rsidRDefault="00283023" w:rsidP="00283023"/>
    <w:p w:rsidR="00283023" w:rsidRDefault="00283023" w:rsidP="00283023"/>
    <w:p w:rsidR="00283023" w:rsidRDefault="00283023" w:rsidP="00283023"/>
    <w:p w:rsidR="00283023" w:rsidRDefault="00283023" w:rsidP="00283023"/>
    <w:p w:rsidR="00381530" w:rsidRDefault="00381530">
      <w:bookmarkStart w:id="0" w:name="_GoBack"/>
      <w:bookmarkEnd w:id="0"/>
    </w:p>
    <w:sectPr w:rsidR="00381530" w:rsidSect="0064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023"/>
    <w:rsid w:val="00180C02"/>
    <w:rsid w:val="00283023"/>
    <w:rsid w:val="00381530"/>
    <w:rsid w:val="004D3172"/>
    <w:rsid w:val="0064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02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02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02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3023"/>
    <w:pPr>
      <w:spacing w:before="100" w:beforeAutospacing="1" w:after="100" w:afterAutospacing="1"/>
    </w:pPr>
  </w:style>
  <w:style w:type="paragraph" w:customStyle="1" w:styleId="Default">
    <w:name w:val="Default"/>
    <w:rsid w:val="0028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ewnarodowa.biuletyn.net/fls/bip_pliki/2017_11/BIPOLD005377/537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3262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Ryszard Gancarz</cp:lastModifiedBy>
  <cp:revision>3</cp:revision>
  <dcterms:created xsi:type="dcterms:W3CDTF">2024-03-26T07:19:00Z</dcterms:created>
  <dcterms:modified xsi:type="dcterms:W3CDTF">2024-03-26T07:23:00Z</dcterms:modified>
</cp:coreProperties>
</file>