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A7178C">
        <w:rPr>
          <w:rStyle w:val="Pogrubienie"/>
        </w:rPr>
        <w:t xml:space="preserve">– rozgraniczenie nieruchomości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A7178C">
        <w:rPr>
          <w:rStyle w:val="Pogrubienie"/>
        </w:rPr>
        <w:t xml:space="preserve"> z dnia 17 maja 1989 r.</w:t>
      </w:r>
      <w:r w:rsidR="00AD0DD2">
        <w:rPr>
          <w:rStyle w:val="Pogrubienie"/>
        </w:rPr>
        <w:t xml:space="preserve"> </w:t>
      </w:r>
      <w:r w:rsidR="00A7178C">
        <w:rPr>
          <w:rStyle w:val="Pogrubienie"/>
        </w:rPr>
        <w:t>Prawo geodezyjne i kartograficzne</w:t>
      </w:r>
      <w:r w:rsidR="00500803" w:rsidRPr="00F01CB8">
        <w:rPr>
          <w:rStyle w:val="Pogrubienie"/>
        </w:rPr>
        <w:t xml:space="preserve">)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21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prowadzonego postę</w:t>
      </w:r>
      <w:r w:rsid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rozgraniczenie nieruchomości 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 1 lit c)  RODO – obowiązek prawny ciążący na administratorze oraz na podstawie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5B720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maja 1989 r. Prawo geodezyjne i kartograficzne</w:t>
      </w:r>
      <w:r w:rsid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B72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5B720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725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A.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A34F1"/>
    <w:rsid w:val="001145F4"/>
    <w:rsid w:val="00186D5D"/>
    <w:rsid w:val="0021231F"/>
    <w:rsid w:val="00295C9C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B6704"/>
    <w:rsid w:val="007F34AF"/>
    <w:rsid w:val="00917CD5"/>
    <w:rsid w:val="00925EC6"/>
    <w:rsid w:val="00975E6F"/>
    <w:rsid w:val="00982F5B"/>
    <w:rsid w:val="009F1A49"/>
    <w:rsid w:val="00A10E1A"/>
    <w:rsid w:val="00A7178C"/>
    <w:rsid w:val="00AD0DD2"/>
    <w:rsid w:val="00AF02ED"/>
    <w:rsid w:val="00B46CD7"/>
    <w:rsid w:val="00B66402"/>
    <w:rsid w:val="00B7448C"/>
    <w:rsid w:val="00BE62E5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38</cp:revision>
  <cp:lastPrinted>2018-06-19T10:32:00Z</cp:lastPrinted>
  <dcterms:created xsi:type="dcterms:W3CDTF">2018-06-19T09:30:00Z</dcterms:created>
  <dcterms:modified xsi:type="dcterms:W3CDTF">2019-05-14T11:40:00Z</dcterms:modified>
</cp:coreProperties>
</file>